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1A" w:rsidRPr="00AC441A" w:rsidRDefault="00AC441A" w:rsidP="00AC441A">
      <w:pPr>
        <w:pStyle w:val="Prrafodelista"/>
        <w:ind w:left="0"/>
        <w:jc w:val="center"/>
        <w:rPr>
          <w:rFonts w:ascii="Arial" w:hAnsi="Arial" w:cs="Arial"/>
          <w:b/>
        </w:rPr>
      </w:pPr>
      <w:r w:rsidRPr="00AC441A">
        <w:rPr>
          <w:rFonts w:ascii="Arial" w:eastAsia="Times New Roman" w:hAnsi="Arial" w:cs="Arial"/>
          <w:b/>
          <w:caps/>
          <w:lang w:val="es-ES" w:eastAsia="es-ES"/>
        </w:rPr>
        <w:t>Reglamento de Entrega-Recepción para la Administración Pública del Municipio de Monterrey, Nuevo León</w:t>
      </w:r>
    </w:p>
    <w:tbl>
      <w:tblPr>
        <w:tblStyle w:val="Tablaconcuadrcula"/>
        <w:tblW w:w="0" w:type="auto"/>
        <w:tblLook w:val="04A0" w:firstRow="1" w:lastRow="0" w:firstColumn="1" w:lastColumn="0" w:noHBand="0" w:noVBand="1"/>
      </w:tblPr>
      <w:tblGrid>
        <w:gridCol w:w="4410"/>
        <w:gridCol w:w="4418"/>
      </w:tblGrid>
      <w:tr w:rsidR="00AC441A" w:rsidRPr="00AC441A" w:rsidTr="001C6EE5">
        <w:tc>
          <w:tcPr>
            <w:tcW w:w="4489" w:type="dxa"/>
          </w:tcPr>
          <w:p w:rsidR="00AC441A" w:rsidRPr="00AC441A" w:rsidRDefault="00AC441A" w:rsidP="001C6EE5">
            <w:pPr>
              <w:jc w:val="center"/>
              <w:rPr>
                <w:rFonts w:ascii="Arial" w:hAnsi="Arial" w:cs="Arial"/>
                <w:b/>
                <w:sz w:val="22"/>
                <w:szCs w:val="22"/>
              </w:rPr>
            </w:pPr>
            <w:r w:rsidRPr="00AC441A">
              <w:rPr>
                <w:rFonts w:ascii="Arial" w:hAnsi="Arial" w:cs="Arial"/>
                <w:b/>
                <w:sz w:val="22"/>
                <w:szCs w:val="22"/>
              </w:rPr>
              <w:t>DICE</w:t>
            </w:r>
          </w:p>
        </w:tc>
        <w:tc>
          <w:tcPr>
            <w:tcW w:w="4489" w:type="dxa"/>
          </w:tcPr>
          <w:p w:rsidR="00AC441A" w:rsidRPr="00AC441A" w:rsidRDefault="00AC441A" w:rsidP="001C6EE5">
            <w:pPr>
              <w:jc w:val="center"/>
              <w:rPr>
                <w:rFonts w:ascii="Arial" w:hAnsi="Arial" w:cs="Arial"/>
                <w:b/>
                <w:sz w:val="22"/>
                <w:szCs w:val="22"/>
              </w:rPr>
            </w:pPr>
            <w:r w:rsidRPr="00AC441A">
              <w:rPr>
                <w:rFonts w:ascii="Arial" w:hAnsi="Arial" w:cs="Arial"/>
                <w:b/>
                <w:sz w:val="22"/>
                <w:szCs w:val="22"/>
              </w:rPr>
              <w:t>DEBE DECIR</w:t>
            </w:r>
          </w:p>
        </w:tc>
      </w:tr>
      <w:tr w:rsidR="00AC441A" w:rsidRPr="00AC441A" w:rsidTr="001C6EE5">
        <w:trPr>
          <w:trHeight w:val="3540"/>
        </w:trPr>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t>Artículo 1.- El presente Reglamento tiene por objeto fijar las normas generales para la Entrega - Recepción</w:t>
            </w:r>
          </w:p>
          <w:p w:rsidR="00AC441A" w:rsidRPr="00AC441A" w:rsidRDefault="00AC441A" w:rsidP="001C6EE5">
            <w:pPr>
              <w:jc w:val="both"/>
              <w:rPr>
                <w:rFonts w:ascii="Arial" w:hAnsi="Arial" w:cs="Arial"/>
                <w:sz w:val="22"/>
                <w:szCs w:val="22"/>
              </w:rPr>
            </w:pPr>
            <w:r w:rsidRPr="00AC441A">
              <w:rPr>
                <w:rFonts w:ascii="Arial" w:hAnsi="Arial" w:cs="Arial"/>
                <w:sz w:val="22"/>
                <w:szCs w:val="22"/>
              </w:rPr>
              <w:t>de los asuntos y recursos de la Administración Pública Municipal de Monterrey, Nuevo León, de acuerdo con lo dispuesto por los artículos 24 y 26 inciso C fracción V de la Ley Orgánica de la Administración Pública Municipal del Estado de Nuevo León y establecer la obligación de que</w:t>
            </w:r>
            <w:r>
              <w:rPr>
                <w:rFonts w:ascii="Arial" w:hAnsi="Arial" w:cs="Arial"/>
                <w:sz w:val="22"/>
                <w:szCs w:val="22"/>
              </w:rPr>
              <w:t xml:space="preserve"> </w:t>
            </w:r>
            <w:bookmarkStart w:id="0" w:name="_GoBack"/>
            <w:bookmarkEnd w:id="0"/>
            <w:r w:rsidRPr="00AC441A">
              <w:rPr>
                <w:rFonts w:ascii="Arial" w:hAnsi="Arial" w:cs="Arial"/>
                <w:sz w:val="22"/>
                <w:szCs w:val="22"/>
              </w:rPr>
              <w:t>los titulares de las Dependencias hasta el nivel de Director o su equivalente en el Sector Descentralizado, rindan al separarse de sus cargos, un informe por escrito de los asuntos de su competencia y entreguen formalmente el detalle de los recursos financieros, humanos y materiales que tengan asignados para el ejercicio de sus atribuciones a quienes los sustituyan legalmente en sus funciones.</w:t>
            </w:r>
          </w:p>
        </w:tc>
        <w:tc>
          <w:tcPr>
            <w:tcW w:w="4489" w:type="dxa"/>
          </w:tcPr>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ARTÍCULO 1. El presente Reglamento tiene por objeto fijar las normas generales para la Entrega-Recepción de los asuntos y recursos de la Administración Pública Municipal de Monterrey, Nuevo León, de acuerdo con lo dispuesto por los artículos 27 y 28 de la Ley de Gobierno Municipal del Estado de Nuevo León y establecer la obligación de que los titulares de las Dependencias hasta el nivel de Director o su equivalente en el Sector Descentralizado, rindan al separarse de sus cargos, un informe por escrito de los asuntos de su competencia y entreguen formalmente el detalle de los recursos financieros, humanos y materiales que tengan asignados para el ejercicio de sus atribuciones a quienes los sustituyan legalmente en sus funciones.</w:t>
            </w:r>
          </w:p>
        </w:tc>
      </w:tr>
      <w:tr w:rsidR="00AC441A" w:rsidRPr="00AC441A" w:rsidTr="001C6EE5">
        <w:trPr>
          <w:trHeight w:val="330"/>
        </w:trPr>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t>Artículo 4.- Se faculta a la Secretaría de la Contraloría Municipal para que coordine las acciones del Programa de Entrega-Recepción, así como la elaboración e implementación de los Lineamientos, Criterios y Anexos que deberán estar contenidos en el Manual de Políticas y Procedimientos, que especifique la forma, términos y alcances de la información que deberá proporcionarse, misma que de ninguna manera podrá dejar de abarcar los aspectos mínimos que se indican en el presente Reglamento.</w:t>
            </w:r>
          </w:p>
          <w:p w:rsidR="00AC441A" w:rsidRPr="00AC441A" w:rsidRDefault="00AC441A" w:rsidP="001C6EE5">
            <w:pPr>
              <w:jc w:val="both"/>
              <w:rPr>
                <w:rFonts w:ascii="Arial" w:hAnsi="Arial" w:cs="Arial"/>
                <w:sz w:val="22"/>
                <w:szCs w:val="22"/>
              </w:rPr>
            </w:pPr>
          </w:p>
          <w:p w:rsidR="00AC441A" w:rsidRPr="00AC441A" w:rsidRDefault="00AC441A" w:rsidP="001C6EE5">
            <w:pPr>
              <w:jc w:val="both"/>
              <w:rPr>
                <w:rFonts w:ascii="Arial" w:hAnsi="Arial" w:cs="Arial"/>
                <w:sz w:val="22"/>
                <w:szCs w:val="22"/>
              </w:rPr>
            </w:pPr>
            <w:r w:rsidRPr="00AC441A">
              <w:rPr>
                <w:rFonts w:ascii="Arial" w:hAnsi="Arial" w:cs="Arial"/>
                <w:sz w:val="22"/>
                <w:szCs w:val="22"/>
              </w:rPr>
              <w:t xml:space="preserve">Dentro del Programa de Entrega-Recepción, la Secretaría de la Contraloría Municipal establecerá el Sistema de Seguimiento, Verificación y </w:t>
            </w:r>
            <w:proofErr w:type="spellStart"/>
            <w:r w:rsidRPr="00AC441A">
              <w:rPr>
                <w:rFonts w:ascii="Arial" w:hAnsi="Arial" w:cs="Arial"/>
                <w:sz w:val="22"/>
                <w:szCs w:val="22"/>
              </w:rPr>
              <w:t>Solventación</w:t>
            </w:r>
            <w:proofErr w:type="spellEnd"/>
            <w:r w:rsidRPr="00AC441A">
              <w:rPr>
                <w:rFonts w:ascii="Arial" w:hAnsi="Arial" w:cs="Arial"/>
                <w:sz w:val="22"/>
                <w:szCs w:val="22"/>
              </w:rPr>
              <w:t xml:space="preserve"> de Observaciones detectadas en las diferentes revisiones practicadas por la propia Contraloría, el cual se instrumentará y operará mediante ensayos previos.</w:t>
            </w:r>
          </w:p>
        </w:tc>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t>Artículo 4.- Se faculta a la Contraloría Municipal para que coordine las acciones del Programa de Entrega-Recepción, así como la elaboración e implementación de los Lineamientos, Criterios y Anexos que deberán estar contenidos en el Manual de Políticas y Procedimientos, que especifique la forma, términos y alcances de la información que deberá proporcionarse, misma que de ninguna manera podrá dejar de abarcar los aspectos mínimos que se indican en el presente Reglamento.</w:t>
            </w:r>
          </w:p>
          <w:p w:rsidR="00AC441A" w:rsidRPr="00AC441A" w:rsidRDefault="00AC441A" w:rsidP="001C6EE5">
            <w:pPr>
              <w:jc w:val="both"/>
              <w:rPr>
                <w:rFonts w:ascii="Arial" w:hAnsi="Arial" w:cs="Arial"/>
                <w:sz w:val="22"/>
                <w:szCs w:val="22"/>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 xml:space="preserve">Dentro del Programa de Entrega-Recepción, la Contraloría Municipal establecerá el Sistema de Seguimiento, Verificación y </w:t>
            </w:r>
            <w:proofErr w:type="spellStart"/>
            <w:r w:rsidRPr="00AC441A">
              <w:rPr>
                <w:rFonts w:ascii="Arial" w:hAnsi="Arial" w:cs="Arial"/>
              </w:rPr>
              <w:t>Solventación</w:t>
            </w:r>
            <w:proofErr w:type="spellEnd"/>
            <w:r w:rsidRPr="00AC441A">
              <w:rPr>
                <w:rFonts w:ascii="Arial" w:hAnsi="Arial" w:cs="Arial"/>
              </w:rPr>
              <w:t xml:space="preserve"> de Observaciones detectadas en las diferentes revisiones practicadas por la propia Contraloría, el cual se instrumentará y operará mediante ensayos previos.</w:t>
            </w:r>
          </w:p>
        </w:tc>
      </w:tr>
      <w:tr w:rsidR="00AC441A" w:rsidRPr="00AC441A" w:rsidTr="001C6EE5">
        <w:trPr>
          <w:trHeight w:val="4552"/>
        </w:trPr>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lastRenderedPageBreak/>
              <w:t>Artículo 5.- La elaboración e implementación de los Anexos indicados en el artículo anterior deberá</w:t>
            </w:r>
          </w:p>
          <w:p w:rsidR="00AC441A" w:rsidRPr="00AC441A" w:rsidRDefault="00AC441A" w:rsidP="001C6EE5">
            <w:pPr>
              <w:jc w:val="both"/>
              <w:rPr>
                <w:rFonts w:ascii="Arial" w:hAnsi="Arial" w:cs="Arial"/>
                <w:sz w:val="22"/>
                <w:szCs w:val="22"/>
              </w:rPr>
            </w:pPr>
            <w:r w:rsidRPr="00AC441A">
              <w:rPr>
                <w:rFonts w:ascii="Arial" w:hAnsi="Arial" w:cs="Arial"/>
                <w:sz w:val="22"/>
                <w:szCs w:val="22"/>
              </w:rPr>
              <w:t>comprender los siguientes recursos y asuntos:</w:t>
            </w:r>
          </w:p>
          <w:p w:rsidR="00AC441A" w:rsidRPr="00AC441A" w:rsidRDefault="00AC441A" w:rsidP="001C6EE5">
            <w:pPr>
              <w:jc w:val="both"/>
              <w:rPr>
                <w:rFonts w:ascii="Arial" w:hAnsi="Arial" w:cs="Arial"/>
                <w:sz w:val="22"/>
                <w:szCs w:val="22"/>
              </w:rPr>
            </w:pPr>
          </w:p>
          <w:p w:rsidR="00AC441A" w:rsidRPr="00AC441A" w:rsidRDefault="00AC441A" w:rsidP="001C6EE5">
            <w:pPr>
              <w:jc w:val="both"/>
              <w:rPr>
                <w:rFonts w:ascii="Arial" w:hAnsi="Arial" w:cs="Arial"/>
                <w:sz w:val="22"/>
                <w:szCs w:val="22"/>
              </w:rPr>
            </w:pPr>
            <w:r w:rsidRPr="00AC441A">
              <w:rPr>
                <w:rFonts w:ascii="Arial" w:hAnsi="Arial" w:cs="Arial"/>
                <w:sz w:val="22"/>
                <w:szCs w:val="22"/>
              </w:rPr>
              <w:t>I. Informe de Actividades, Estructura Orgánica y Funciones Generales.</w:t>
            </w:r>
          </w:p>
          <w:p w:rsidR="00AC441A" w:rsidRPr="00AC441A" w:rsidRDefault="00AC441A" w:rsidP="001C6EE5">
            <w:pPr>
              <w:jc w:val="both"/>
              <w:rPr>
                <w:rFonts w:ascii="Arial" w:hAnsi="Arial" w:cs="Arial"/>
                <w:sz w:val="22"/>
                <w:szCs w:val="22"/>
              </w:rPr>
            </w:pPr>
            <w:r w:rsidRPr="00AC441A">
              <w:rPr>
                <w:rFonts w:ascii="Arial" w:hAnsi="Arial" w:cs="Arial"/>
                <w:sz w:val="22"/>
                <w:szCs w:val="22"/>
              </w:rPr>
              <w:t>II. Recursos Financieros.- Cuenta pública, estados financieros, presupuestos, cuentas bancarias,</w:t>
            </w:r>
            <w:r w:rsidRPr="00AC441A">
              <w:rPr>
                <w:rFonts w:ascii="Arial" w:hAnsi="Arial" w:cs="Arial"/>
                <w:sz w:val="22"/>
                <w:szCs w:val="22"/>
              </w:rPr>
              <w:t xml:space="preserve"> </w:t>
            </w:r>
            <w:r w:rsidRPr="00AC441A">
              <w:rPr>
                <w:rFonts w:ascii="Arial" w:hAnsi="Arial" w:cs="Arial"/>
                <w:sz w:val="22"/>
                <w:szCs w:val="22"/>
              </w:rPr>
              <w:t xml:space="preserve">inversiones, cuentas por cobrar y por pagar, bienes inmuebles, documentación comprobatoria de ingresos y egresos, y demás información relativa. </w:t>
            </w:r>
          </w:p>
          <w:p w:rsidR="00AC441A" w:rsidRPr="00AC441A" w:rsidRDefault="00AC441A" w:rsidP="001C6EE5">
            <w:pPr>
              <w:jc w:val="both"/>
              <w:rPr>
                <w:rFonts w:ascii="Arial" w:hAnsi="Arial" w:cs="Arial"/>
                <w:sz w:val="22"/>
                <w:szCs w:val="22"/>
              </w:rPr>
            </w:pPr>
            <w:r w:rsidRPr="00AC441A">
              <w:rPr>
                <w:rFonts w:ascii="Arial" w:hAnsi="Arial" w:cs="Arial"/>
                <w:sz w:val="22"/>
                <w:szCs w:val="22"/>
              </w:rPr>
              <w:t>III. Recursos Humanos.- Plantillas autorizadas y relación de personal que incluya clasificación y situación laboral de cada Empleado.</w:t>
            </w:r>
          </w:p>
          <w:p w:rsidR="00AC441A" w:rsidRPr="00AC441A" w:rsidRDefault="00AC441A" w:rsidP="001C6EE5">
            <w:pPr>
              <w:jc w:val="both"/>
              <w:rPr>
                <w:rFonts w:ascii="Arial" w:hAnsi="Arial" w:cs="Arial"/>
                <w:sz w:val="22"/>
                <w:szCs w:val="22"/>
              </w:rPr>
            </w:pPr>
            <w:r w:rsidRPr="00AC441A">
              <w:rPr>
                <w:rFonts w:ascii="Arial" w:hAnsi="Arial" w:cs="Arial"/>
                <w:sz w:val="22"/>
                <w:szCs w:val="22"/>
              </w:rPr>
              <w:t>IV. Recursos Materiales.- Detalle de mobiliario y equipo, vehículos, maquinaria, herramientas, utensilios, sistemas de cómputo, sellos oficiales, inventario en almacenes, libros, manuales y demás información relativa.</w:t>
            </w:r>
          </w:p>
          <w:p w:rsidR="00AC441A" w:rsidRPr="00AC441A" w:rsidRDefault="00AC441A" w:rsidP="001C6EE5">
            <w:pPr>
              <w:jc w:val="both"/>
              <w:rPr>
                <w:rFonts w:ascii="Arial" w:hAnsi="Arial" w:cs="Arial"/>
                <w:sz w:val="22"/>
                <w:szCs w:val="22"/>
              </w:rPr>
            </w:pPr>
            <w:r w:rsidRPr="00AC441A">
              <w:rPr>
                <w:rFonts w:ascii="Arial" w:hAnsi="Arial" w:cs="Arial"/>
                <w:sz w:val="22"/>
                <w:szCs w:val="22"/>
              </w:rPr>
              <w:t>V. Obras y Programas.- Relación de obras terminadas y en proceso, así como los programas de trabajo permanentes.</w:t>
            </w:r>
          </w:p>
          <w:p w:rsidR="00AC441A" w:rsidRPr="00AC441A" w:rsidRDefault="00AC441A" w:rsidP="001C6EE5">
            <w:pPr>
              <w:jc w:val="both"/>
              <w:rPr>
                <w:rFonts w:ascii="Arial" w:hAnsi="Arial" w:cs="Arial"/>
                <w:sz w:val="22"/>
                <w:szCs w:val="22"/>
              </w:rPr>
            </w:pPr>
            <w:r w:rsidRPr="00AC441A">
              <w:rPr>
                <w:rFonts w:ascii="Arial" w:hAnsi="Arial" w:cs="Arial"/>
                <w:sz w:val="22"/>
                <w:szCs w:val="22"/>
              </w:rPr>
              <w:t>VI. Asuntos Jurídicos.- Estado actual que guarda el trámite de amparos, juicios, acuerdos, contratos, convenios y demás información relativa.</w:t>
            </w:r>
          </w:p>
          <w:p w:rsidR="00AC441A" w:rsidRPr="00AC441A" w:rsidRDefault="00AC441A" w:rsidP="001C6EE5">
            <w:pPr>
              <w:jc w:val="both"/>
              <w:rPr>
                <w:rFonts w:ascii="Arial" w:hAnsi="Arial" w:cs="Arial"/>
                <w:sz w:val="22"/>
                <w:szCs w:val="22"/>
              </w:rPr>
            </w:pPr>
            <w:r w:rsidRPr="00AC441A">
              <w:rPr>
                <w:rFonts w:ascii="Arial" w:hAnsi="Arial" w:cs="Arial"/>
                <w:sz w:val="22"/>
                <w:szCs w:val="22"/>
              </w:rPr>
              <w:t>VII.</w:t>
            </w:r>
            <w:r w:rsidRPr="00AC441A">
              <w:rPr>
                <w:rFonts w:ascii="Arial" w:hAnsi="Arial" w:cs="Arial"/>
                <w:sz w:val="22"/>
                <w:szCs w:val="22"/>
              </w:rPr>
              <w:t xml:space="preserve"> </w:t>
            </w:r>
            <w:r w:rsidRPr="00AC441A">
              <w:rPr>
                <w:rFonts w:ascii="Arial" w:hAnsi="Arial" w:cs="Arial"/>
                <w:sz w:val="22"/>
                <w:szCs w:val="22"/>
              </w:rPr>
              <w:t>Asuntos Generales.- Relación de expedientes, planos oficiales y actas en archivo, asuntos y proyectos en proceso, así como toda la Información complementaria en relación a los asuntos de carácter general de la Administración Municipal, que por su naturaleza deba presentar cada Dependencia u Organismo Descentralizado.</w:t>
            </w:r>
          </w:p>
        </w:tc>
        <w:tc>
          <w:tcPr>
            <w:tcW w:w="4489" w:type="dxa"/>
          </w:tcPr>
          <w:p w:rsidR="00AC441A" w:rsidRPr="00AC441A" w:rsidRDefault="00AC441A" w:rsidP="001C6EE5">
            <w:pPr>
              <w:pStyle w:val="Poromisin"/>
              <w:jc w:val="both"/>
              <w:rPr>
                <w:rFonts w:ascii="Arial" w:hAnsi="Arial" w:cs="Arial"/>
              </w:rPr>
            </w:pPr>
            <w:r w:rsidRPr="00AC441A">
              <w:rPr>
                <w:rFonts w:ascii="Arial" w:hAnsi="Arial" w:cs="Arial"/>
              </w:rPr>
              <w:t>ARTÍCULO 5. La elaboración e implementación de los Anexos indicados en el artículo anterior deberá comprender los siguientes recursos y asuntos:</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I. Libros de Actas de las sesiones del Ayuntamiento y la mención del lugar en donde se encuentran los libros de actas de Ayuntamientos anteriores;</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 xml:space="preserve">II. Informe detallado sobre la situación financiera del Gobierno Municipal saliente, el cual deberá contener los estados contables, los libros de contabilidad, registros auxiliares, cuentas de cheques, inversiones, acta de arqueo de caja o fondos </w:t>
            </w:r>
            <w:proofErr w:type="spellStart"/>
            <w:r w:rsidRPr="00AC441A">
              <w:rPr>
                <w:rFonts w:ascii="Arial" w:hAnsi="Arial" w:cs="Arial"/>
              </w:rPr>
              <w:t>revolventes</w:t>
            </w:r>
            <w:proofErr w:type="spellEnd"/>
            <w:r w:rsidRPr="00AC441A">
              <w:rPr>
                <w:rFonts w:ascii="Arial" w:hAnsi="Arial" w:cs="Arial"/>
              </w:rPr>
              <w:t>, presupuesto y demás documentación comprobatoria;</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III. Informe del estado que guarda la cuenta pública del Municipio, y las observaciones o requerimientos que en su caso la Auditoría Superior del Estado le haya hecho al Municipio;</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IV. Informe de la situación que guarda la deuda pública del Municipio, de corto y largo plazo, en términos de lo establecido en la Ley General de Contabilidad Gubernamental, incluyendo la deuda con proveedores así como la documentación relativa a las mismas;</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V. Informe circunstanciado relativo a la obra pública ejecutada por el Municipio durante el período que concluye, así como de las obras que se encuentran en proceso, anexando los expedientes técnicos y unitarios relativos a las mismas;</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VI. Informe de la situación que guarda la aplicación del gasto público de los recursos federales y estatales transferidos o convenidos;</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 xml:space="preserve">VII. Organigrama y plantilla del personal al servicio del Municipio, con especificaciones de sus funciones generales, sus actividades, sus expedientes; la información relacionada al mismo, como catálogo de puestos, prestaciones, </w:t>
            </w:r>
            <w:r w:rsidRPr="00AC441A">
              <w:rPr>
                <w:rFonts w:ascii="Arial" w:hAnsi="Arial" w:cs="Arial"/>
              </w:rPr>
              <w:lastRenderedPageBreak/>
              <w:t>antigüedad, personal por nivel, por honorarios y con licencia o permiso, así como la relación del personal jubilado y pensionado;</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VIII. Informe de los convenios, contratos y acuerdos que el Municipio tenga celebrado con otros Municipios, con el Gobierno del Estado, el Gobierno Federal o con particulares, así como la documentación respectiva;</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IX. Informe de los programas y proyectos aprobados y ejecutados por el Municipio y de aquellos que se encuentren en proceso de ejecución, con su documentación respectiva;</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X. Informe de los recursos materiales, que estará conformado por la relación e inventario de bienes que sean propiedad o estén en uso del Municipio. Dicho informe debe dividirse en dos rubros: bienes muebles y bienes inmuebles;</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XI. Informe y documentación relativa a los asuntos en trámite en las comisiones del Ayuntamiento;</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XII. Informe de los asuntos jurídicos en los que intervenga el Municipio, tales como amparos, juicios fiscales y contencioso-administrativos, asuntos penales, civiles, laborales, acuerdos, contratos y convenios administrativos vigentes, concejos, comités, fideicomisos, patronatos, asociaciones, hermanamientos vigentes, relación de beneficiarios de los programas federales y estatales, relación de bienes embargados y decomisados por el Municipio, relación de inmuebles desafectados y relación de regularización de colonias; y</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XIII. La demás información que se estime conveniente para garantizar la continuidad del Gobierno y la Administración Pública Municipal.</w:t>
            </w:r>
          </w:p>
        </w:tc>
      </w:tr>
      <w:tr w:rsidR="00AC441A" w:rsidRPr="00AC441A" w:rsidTr="001C6EE5">
        <w:trPr>
          <w:trHeight w:val="6837"/>
        </w:trPr>
        <w:tc>
          <w:tcPr>
            <w:tcW w:w="4489" w:type="dxa"/>
          </w:tcPr>
          <w:p w:rsidR="00AC441A" w:rsidRPr="00AC441A" w:rsidRDefault="00AC441A" w:rsidP="001C6EE5">
            <w:pPr>
              <w:pStyle w:val="Sinespaciado"/>
              <w:jc w:val="both"/>
              <w:rPr>
                <w:rFonts w:ascii="Arial" w:hAnsi="Arial" w:cs="Arial"/>
                <w:sz w:val="22"/>
                <w:szCs w:val="22"/>
                <w:lang w:val="es-MX"/>
              </w:rPr>
            </w:pPr>
            <w:r w:rsidRPr="00AC441A">
              <w:rPr>
                <w:rFonts w:ascii="Arial" w:hAnsi="Arial" w:cs="Arial"/>
                <w:bCs/>
                <w:smallCaps/>
                <w:sz w:val="22"/>
                <w:szCs w:val="22"/>
                <w:lang w:val="es-MX"/>
              </w:rPr>
              <w:lastRenderedPageBreak/>
              <w:t>Artículo 8</w:t>
            </w:r>
            <w:r w:rsidRPr="00AC441A">
              <w:rPr>
                <w:rFonts w:ascii="Arial" w:hAnsi="Arial" w:cs="Arial"/>
                <w:b/>
                <w:bCs/>
                <w:smallCaps/>
                <w:sz w:val="22"/>
                <w:szCs w:val="22"/>
                <w:lang w:val="es-MX"/>
              </w:rPr>
              <w:t>.</w:t>
            </w:r>
            <w:r w:rsidRPr="00AC441A">
              <w:rPr>
                <w:rFonts w:ascii="Arial" w:hAnsi="Arial" w:cs="Arial"/>
                <w:sz w:val="22"/>
                <w:szCs w:val="22"/>
                <w:lang w:val="es-MX"/>
              </w:rPr>
              <w:t xml:space="preserve"> El acto de Entrega-Recepción de la Administración Pública Municipal de Monterrey, Nuevo León se llevará a cabo una vez terminada la ceremonia de toma de protesta del Ayuntamiento entrante, firmando el Acta Administrativa de Entrega-Recepción por el Ayuntamiento saliente y entrante:</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 </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I. El Presidente Municipal saliente,</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II. El Presidente Municipal entrante, y</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III. Los Síndicos Primero y Segundo salientes y entrantes respectivamente.</w:t>
            </w:r>
          </w:p>
          <w:p w:rsidR="00AC441A" w:rsidRPr="00AC441A" w:rsidRDefault="00AC441A" w:rsidP="001C6EE5">
            <w:pPr>
              <w:pStyle w:val="Sinespaciado"/>
              <w:jc w:val="both"/>
              <w:rPr>
                <w:rFonts w:ascii="Arial" w:hAnsi="Arial" w:cs="Arial"/>
                <w:sz w:val="22"/>
                <w:szCs w:val="22"/>
                <w:lang w:val="es-MX"/>
              </w:rPr>
            </w:pP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En el caso que el Presidente Municipal saliente no asista al Acto de Entrega-Recepción, se estará a lo dispuesto por lo señalado en la Ley Orgánica de la Administración Pública Municipal del Estado de Nuevo León. Tratándose de la inasistencia de los Síndicos Primero y Segundo saliente y entrante respectivamente únicamente se anotará en el Acta de Entrega-Recepción la leyenda «No asistió».</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jc w:val="both"/>
              <w:rPr>
                <w:rFonts w:ascii="Arial" w:hAnsi="Arial" w:cs="Arial"/>
                <w:sz w:val="22"/>
                <w:szCs w:val="22"/>
              </w:rPr>
            </w:pPr>
          </w:p>
        </w:tc>
        <w:tc>
          <w:tcPr>
            <w:tcW w:w="4489" w:type="dxa"/>
          </w:tcPr>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 xml:space="preserve">ARTÍCULO 8. </w:t>
            </w:r>
            <w:r w:rsidRPr="00AC441A">
              <w:rPr>
                <w:rFonts w:ascii="Arial" w:hAnsi="Arial" w:cs="Arial"/>
              </w:rPr>
              <w:t>El acto de Entrega-Recepción de la Administración Pública Municipal de Monterrey, Nuevo León se llevará a cabo una vez terminada la ceremonia de toma de protesta del Ayuntamiento entrante, los Presidentes Municipales, entrante y saliente, y el Contralor Municipal saliente, en su defecto, quien hiciera las funciones de este, así como los Síndicos Municipales entrantes y salientes, levantarán acta circunstanciada por duplicado del acto protocolario de la entrega-recepción, la cual deberá ser firmada por los que intervinieron, entregando un tanto de la misma, del expediente y sus anexos, al Ayuntamiento entrante, y otro al Ayuntamiento saliente.</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jc w:val="both"/>
              <w:rPr>
                <w:rFonts w:ascii="Arial" w:hAnsi="Arial" w:cs="Arial"/>
                <w:sz w:val="22"/>
                <w:szCs w:val="22"/>
              </w:rPr>
            </w:pPr>
          </w:p>
          <w:p w:rsidR="00AC441A" w:rsidRPr="00AC441A" w:rsidRDefault="00AC441A" w:rsidP="001C6EE5">
            <w:pPr>
              <w:jc w:val="both"/>
              <w:rPr>
                <w:rFonts w:ascii="Arial" w:hAnsi="Arial" w:cs="Arial"/>
                <w:sz w:val="22"/>
                <w:szCs w:val="22"/>
              </w:rPr>
            </w:pPr>
          </w:p>
          <w:p w:rsidR="00AC441A" w:rsidRPr="00AC441A" w:rsidRDefault="00AC441A" w:rsidP="001C6EE5">
            <w:pPr>
              <w:jc w:val="both"/>
              <w:rPr>
                <w:rFonts w:ascii="Arial" w:hAnsi="Arial" w:cs="Arial"/>
                <w:sz w:val="22"/>
                <w:szCs w:val="22"/>
              </w:rPr>
            </w:pPr>
          </w:p>
          <w:p w:rsidR="00AC441A" w:rsidRPr="00AC441A" w:rsidRDefault="00AC441A" w:rsidP="001C6EE5">
            <w:pPr>
              <w:jc w:val="both"/>
              <w:rPr>
                <w:rFonts w:ascii="Arial" w:hAnsi="Arial" w:cs="Arial"/>
                <w:sz w:val="22"/>
                <w:szCs w:val="22"/>
              </w:rPr>
            </w:pPr>
          </w:p>
        </w:tc>
      </w:tr>
      <w:tr w:rsidR="00AC441A" w:rsidRPr="00AC441A" w:rsidTr="001C6EE5">
        <w:trPr>
          <w:trHeight w:val="3050"/>
        </w:trPr>
        <w:tc>
          <w:tcPr>
            <w:tcW w:w="4489" w:type="dxa"/>
          </w:tcPr>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ARTÍCULO 9. El Acta de Entrega-Recepción con sus Anexos se presentarán en Libros que serán integrados en cuatro originales para distribuirse de la siguiente forma:</w:t>
            </w: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I. Presidente Municipal entrante,</w:t>
            </w:r>
          </w:p>
          <w:p w:rsidR="00AC441A" w:rsidRPr="00AC441A" w:rsidRDefault="00AC441A" w:rsidP="001C6EE5">
            <w:pPr>
              <w:pStyle w:val="Poromisin"/>
              <w:jc w:val="both"/>
              <w:rPr>
                <w:rFonts w:ascii="Arial" w:hAnsi="Arial" w:cs="Arial"/>
              </w:rPr>
            </w:pPr>
            <w:r w:rsidRPr="00AC441A">
              <w:rPr>
                <w:rFonts w:ascii="Arial" w:hAnsi="Arial" w:cs="Arial"/>
              </w:rPr>
              <w:t>II. Presidente Municipal saliente,</w:t>
            </w:r>
          </w:p>
          <w:p w:rsidR="00AC441A" w:rsidRPr="00AC441A" w:rsidRDefault="00AC441A" w:rsidP="001C6EE5">
            <w:pPr>
              <w:pStyle w:val="Poromisin"/>
              <w:jc w:val="both"/>
              <w:rPr>
                <w:rFonts w:ascii="Arial" w:hAnsi="Arial" w:cs="Arial"/>
              </w:rPr>
            </w:pPr>
            <w:r w:rsidRPr="00AC441A">
              <w:rPr>
                <w:rFonts w:ascii="Arial" w:hAnsi="Arial" w:cs="Arial"/>
              </w:rPr>
              <w:t>III. Contaduría Mayor de Hacienda, y</w:t>
            </w:r>
          </w:p>
          <w:p w:rsidR="00AC441A" w:rsidRPr="00AC441A" w:rsidRDefault="00AC441A" w:rsidP="001C6EE5">
            <w:pPr>
              <w:pStyle w:val="Poromisin"/>
              <w:jc w:val="both"/>
              <w:rPr>
                <w:rFonts w:ascii="Arial" w:hAnsi="Arial" w:cs="Arial"/>
              </w:rPr>
            </w:pPr>
            <w:r w:rsidRPr="00AC441A">
              <w:rPr>
                <w:rFonts w:ascii="Arial" w:hAnsi="Arial" w:cs="Arial"/>
              </w:rPr>
              <w:t xml:space="preserve">IV. </w:t>
            </w:r>
            <w:r w:rsidRPr="00AC441A">
              <w:rPr>
                <w:rFonts w:ascii="Arial" w:hAnsi="Arial" w:cs="Arial"/>
              </w:rPr>
              <w:t>Secretaría de la Contraloría Municipal.</w:t>
            </w:r>
          </w:p>
          <w:p w:rsidR="00AC441A" w:rsidRPr="00AC441A" w:rsidRDefault="00AC441A" w:rsidP="001C6EE5">
            <w:pPr>
              <w:jc w:val="both"/>
              <w:rPr>
                <w:rFonts w:ascii="Arial" w:hAnsi="Arial" w:cs="Arial"/>
                <w:bCs/>
                <w:smallCaps/>
                <w:sz w:val="22"/>
                <w:szCs w:val="22"/>
                <w:lang w:val="es-MX"/>
              </w:rPr>
            </w:pPr>
          </w:p>
        </w:tc>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t>ARTÍCULO 9. El Acta de Entrega-Recepción con sus Anexos se presentarán en Libros que serán integrados en cuatro originales para distribuirse de la siguiente forma:</w:t>
            </w:r>
          </w:p>
          <w:p w:rsidR="00AC441A" w:rsidRPr="00AC441A" w:rsidRDefault="00AC441A" w:rsidP="001C6EE5">
            <w:pPr>
              <w:jc w:val="both"/>
              <w:rPr>
                <w:rFonts w:ascii="Arial" w:hAnsi="Arial" w:cs="Arial"/>
                <w:sz w:val="22"/>
                <w:szCs w:val="22"/>
              </w:rPr>
            </w:pPr>
          </w:p>
          <w:p w:rsidR="00AC441A" w:rsidRPr="00AC441A" w:rsidRDefault="00AC441A" w:rsidP="001C6EE5">
            <w:pPr>
              <w:jc w:val="both"/>
              <w:rPr>
                <w:rFonts w:ascii="Arial" w:hAnsi="Arial" w:cs="Arial"/>
                <w:sz w:val="22"/>
                <w:szCs w:val="22"/>
              </w:rPr>
            </w:pPr>
            <w:r w:rsidRPr="00AC441A">
              <w:rPr>
                <w:rFonts w:ascii="Arial" w:hAnsi="Arial" w:cs="Arial"/>
                <w:sz w:val="22"/>
                <w:szCs w:val="22"/>
              </w:rPr>
              <w:t>I. Presidente Municipal entrante,</w:t>
            </w:r>
          </w:p>
          <w:p w:rsidR="00AC441A" w:rsidRPr="00AC441A" w:rsidRDefault="00AC441A" w:rsidP="001C6EE5">
            <w:pPr>
              <w:jc w:val="both"/>
              <w:rPr>
                <w:rFonts w:ascii="Arial" w:hAnsi="Arial" w:cs="Arial"/>
                <w:sz w:val="22"/>
                <w:szCs w:val="22"/>
              </w:rPr>
            </w:pPr>
            <w:r w:rsidRPr="00AC441A">
              <w:rPr>
                <w:rFonts w:ascii="Arial" w:hAnsi="Arial" w:cs="Arial"/>
                <w:sz w:val="22"/>
                <w:szCs w:val="22"/>
              </w:rPr>
              <w:t>II. Presidente Municipal saliente,</w:t>
            </w:r>
          </w:p>
          <w:p w:rsidR="00AC441A" w:rsidRPr="00AC441A" w:rsidRDefault="00AC441A" w:rsidP="001C6EE5">
            <w:pPr>
              <w:jc w:val="both"/>
              <w:rPr>
                <w:rFonts w:ascii="Arial" w:hAnsi="Arial" w:cs="Arial"/>
                <w:sz w:val="22"/>
                <w:szCs w:val="22"/>
              </w:rPr>
            </w:pPr>
            <w:r w:rsidRPr="00AC441A">
              <w:rPr>
                <w:rFonts w:ascii="Arial" w:hAnsi="Arial" w:cs="Arial"/>
                <w:sz w:val="22"/>
                <w:szCs w:val="22"/>
              </w:rPr>
              <w:t>III. Contaduría Mayor de Hacienda, y</w:t>
            </w:r>
          </w:p>
          <w:p w:rsidR="00AC441A" w:rsidRPr="00AC441A" w:rsidRDefault="00AC441A" w:rsidP="001C6EE5">
            <w:pPr>
              <w:jc w:val="both"/>
              <w:rPr>
                <w:rFonts w:ascii="Arial" w:hAnsi="Arial" w:cs="Arial"/>
                <w:sz w:val="22"/>
                <w:szCs w:val="22"/>
              </w:rPr>
            </w:pPr>
            <w:r w:rsidRPr="00AC441A">
              <w:rPr>
                <w:rFonts w:ascii="Arial" w:hAnsi="Arial" w:cs="Arial"/>
                <w:sz w:val="22"/>
                <w:szCs w:val="22"/>
              </w:rPr>
              <w:t xml:space="preserve">IV. </w:t>
            </w:r>
            <w:r w:rsidRPr="00AC441A">
              <w:rPr>
                <w:rFonts w:ascii="Arial" w:hAnsi="Arial" w:cs="Arial"/>
                <w:sz w:val="22"/>
                <w:szCs w:val="22"/>
              </w:rPr>
              <w:t>Contraloría Municipal.</w:t>
            </w:r>
          </w:p>
          <w:p w:rsidR="00AC441A" w:rsidRPr="00AC441A" w:rsidRDefault="00AC441A" w:rsidP="001C6EE5">
            <w:pPr>
              <w:jc w:val="both"/>
              <w:rPr>
                <w:rFonts w:ascii="Arial" w:hAnsi="Arial" w:cs="Arial"/>
                <w:sz w:val="22"/>
                <w:szCs w:val="22"/>
              </w:rPr>
            </w:pPr>
          </w:p>
        </w:tc>
      </w:tr>
      <w:tr w:rsidR="00AC441A" w:rsidRPr="00AC441A" w:rsidTr="001C6EE5">
        <w:trPr>
          <w:trHeight w:val="481"/>
        </w:trPr>
        <w:tc>
          <w:tcPr>
            <w:tcW w:w="4489" w:type="dxa"/>
          </w:tcPr>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 xml:space="preserve">ARTÍCULO 10. Una vez concluida la ceremonia oficial de Entrega-Recepción de la Administración Pública Municipal de Monterrey, Nuevo León, los Secretarios, Directores y los Titulares de los Organismos Descentralizados que sean removidos, se separen del cargo o se haya expedido un nombramiento en favor de otra persona, excepto los Funcionarios cuyo nombramiento y remoción requiera la aprobación del Ayuntamiento, y los servidores públicos entrantes se harán </w:t>
            </w:r>
            <w:r w:rsidRPr="00AC441A">
              <w:rPr>
                <w:rFonts w:ascii="Arial" w:hAnsi="Arial" w:cs="Arial"/>
              </w:rPr>
              <w:lastRenderedPageBreak/>
              <w:t>acompañar de un testigo cada uno y se trasladarán a sus respectivas oficinas para firmar el Acta Administrativa correspondiente a la Entrega-Recepción de los asuntos y recursos de esa Dependencia u Organismo Descentralizado, ante la presencia de un Representante de la Secretaría de la Contraloría Municipal o de la persona que ésta última designe.</w:t>
            </w:r>
          </w:p>
          <w:p w:rsidR="00AC441A" w:rsidRPr="00AC441A" w:rsidRDefault="00AC441A" w:rsidP="001C6EE5">
            <w:pPr>
              <w:jc w:val="both"/>
              <w:rPr>
                <w:rFonts w:ascii="Arial" w:hAnsi="Arial" w:cs="Arial"/>
                <w:sz w:val="22"/>
                <w:szCs w:val="22"/>
              </w:rPr>
            </w:pPr>
          </w:p>
        </w:tc>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lastRenderedPageBreak/>
              <w:t xml:space="preserve">ARTÍCULO 10. Una vez concluida la ceremonia oficial de Entrega-Recepción de la Administración Pública Municipal de Monterrey, Nuevo León, los Secretarios, Directores y los Titulares de los Organismos Descentralizados que sean removidos, se separen del cargo o se haya expedido un nombramiento en favor de otra persona, excepto los Funcionarios cuyo nombramiento y remoción requiera la aprobación del Ayuntamiento, y los servidores públicos entrantes se harán </w:t>
            </w:r>
            <w:r w:rsidRPr="00AC441A">
              <w:rPr>
                <w:rFonts w:ascii="Arial" w:hAnsi="Arial" w:cs="Arial"/>
                <w:sz w:val="22"/>
                <w:szCs w:val="22"/>
              </w:rPr>
              <w:lastRenderedPageBreak/>
              <w:t>acompañar de un testigo cada uno y se trasladarán a sus respectivas oficinas para firmar el Acta Administrativa correspondiente a la Entrega-Recepción de los asuntos y recursos de esa Dependencia u Organismo Descentralizado, ante la presencia de un Representante de la Contraloría Municipal o de la persona que ésta última designe.</w:t>
            </w:r>
          </w:p>
        </w:tc>
      </w:tr>
      <w:tr w:rsidR="00AC441A" w:rsidRPr="00AC441A" w:rsidTr="001C6EE5">
        <w:trPr>
          <w:trHeight w:val="2069"/>
        </w:trPr>
        <w:tc>
          <w:tcPr>
            <w:tcW w:w="4489" w:type="dxa"/>
          </w:tcPr>
          <w:p w:rsidR="00AC441A" w:rsidRPr="00AC441A" w:rsidRDefault="00AC441A" w:rsidP="001C6EE5">
            <w:pPr>
              <w:pStyle w:val="Poromisin"/>
              <w:jc w:val="both"/>
              <w:rPr>
                <w:rFonts w:ascii="Arial" w:hAnsi="Arial" w:cs="Arial"/>
              </w:rPr>
            </w:pPr>
            <w:r w:rsidRPr="00AC441A">
              <w:rPr>
                <w:rFonts w:ascii="Arial" w:hAnsi="Arial" w:cs="Arial"/>
              </w:rPr>
              <w:lastRenderedPageBreak/>
              <w:t>ARTÍCULO 12. En el caso de que el Titular de la Dependencia u Organismo Descentralizado sea ratificado en su puesto, deberá rendir un informe por escrito en los términos que estipulan los artículos 5 y 7 de este Reglamento, ante su superior jerárquico y ante la Secretaría de la Contraloría Municipal.</w:t>
            </w:r>
          </w:p>
        </w:tc>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t>ARTÍCULO 12. En el caso de que el Titular de la Dependencia u Organismo Descentralizado sea ratificado en su puesto, deberá rendir un informe por escrito en los términos que estipulan los artículos 5 y 7 de este Reglamento, ante su superior jerárquico y ante la Contraloría Municipal.</w:t>
            </w:r>
          </w:p>
        </w:tc>
      </w:tr>
      <w:tr w:rsidR="00AC441A" w:rsidRPr="00AC441A" w:rsidTr="001C6EE5">
        <w:trPr>
          <w:trHeight w:val="459"/>
        </w:trPr>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t>ARTÍCULO 13. En relación a los hechos que sucedan entre la fecha de corte de información y el 30 de octubre del año en vigor, se deberá elaborar un Acta Circunstanciada en la que se detalle la situación de los asuntos y recursos financieros, humanos, materiales, obras y programas, jurídicos y generales que hayan presentado movimientos, en presencia de los servidores públicos entrantes y salientes, dos testigos y la representación de la Secretaría de la Contraloría Municipal.</w:t>
            </w:r>
          </w:p>
        </w:tc>
        <w:tc>
          <w:tcPr>
            <w:tcW w:w="4489" w:type="dxa"/>
          </w:tcPr>
          <w:p w:rsidR="00AC441A" w:rsidRPr="00AC441A" w:rsidRDefault="00AC441A" w:rsidP="001C6EE5">
            <w:pPr>
              <w:jc w:val="both"/>
              <w:rPr>
                <w:rFonts w:ascii="Arial" w:hAnsi="Arial" w:cs="Arial"/>
                <w:sz w:val="22"/>
                <w:szCs w:val="22"/>
              </w:rPr>
            </w:pPr>
            <w:r w:rsidRPr="00AC441A">
              <w:rPr>
                <w:rFonts w:ascii="Arial" w:hAnsi="Arial" w:cs="Arial"/>
                <w:sz w:val="22"/>
                <w:szCs w:val="22"/>
              </w:rPr>
              <w:t>ARTÍCULO 13. En relación a los hechos que sucedan entre la fecha de corte de información y el 30 de octubre del año en vigor, se deberá elaborar un Acta Circunstanciada en la que se detalle la situación de los asuntos y recursos financieros, humanos, materiales, obras y programas, jurídicos y generales que hayan presentado movimientos, en presencia de los servidores públicos entrantes y salientes, dos testigos y la representación de la Contraloría Municipal.</w:t>
            </w:r>
          </w:p>
        </w:tc>
      </w:tr>
      <w:tr w:rsidR="00AC441A" w:rsidRPr="00AC441A" w:rsidTr="001C6EE5">
        <w:trPr>
          <w:trHeight w:val="2165"/>
        </w:trPr>
        <w:tc>
          <w:tcPr>
            <w:tcW w:w="4489" w:type="dxa"/>
          </w:tcPr>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ARTÍCULO 14. La verificación y validación</w:t>
            </w:r>
            <w:r w:rsidRPr="00AC441A">
              <w:rPr>
                <w:rFonts w:ascii="Arial" w:hAnsi="Arial" w:cs="Arial"/>
              </w:rPr>
              <w:t xml:space="preserve"> física del contenido del Acta </w:t>
            </w:r>
            <w:r w:rsidRPr="00AC441A">
              <w:rPr>
                <w:rFonts w:ascii="Arial" w:hAnsi="Arial" w:cs="Arial"/>
              </w:rPr>
              <w:t>Administrativa de Entrega-Recepción y sus Anexos deberán llevarse a cabo en un término no mayor de noventa días de acuerdo a lo que establece la Ley Orgánica de la Administración Pública Municipal del Estado de Nuevo León.</w:t>
            </w:r>
          </w:p>
        </w:tc>
        <w:tc>
          <w:tcPr>
            <w:tcW w:w="4489" w:type="dxa"/>
          </w:tcPr>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ARTÍCULO 14. La verificación y validación</w:t>
            </w:r>
            <w:r w:rsidRPr="00AC441A">
              <w:rPr>
                <w:rFonts w:ascii="Arial" w:hAnsi="Arial" w:cs="Arial"/>
              </w:rPr>
              <w:t xml:space="preserve"> física del contenido del Acta </w:t>
            </w:r>
            <w:r w:rsidRPr="00AC441A">
              <w:rPr>
                <w:rFonts w:ascii="Arial" w:hAnsi="Arial" w:cs="Arial"/>
              </w:rPr>
              <w:t>Administrativa de Entrega-Recepción y sus Anexos deberán llevarse a cabo en un término no mayor de noventa días de acuerdo a lo que establece la Ley de Gobierno Municipal del Estado de Nuevo León.</w:t>
            </w:r>
          </w:p>
          <w:p w:rsidR="00AC441A" w:rsidRPr="00AC441A" w:rsidRDefault="00AC441A" w:rsidP="001C6EE5">
            <w:pPr>
              <w:jc w:val="both"/>
              <w:rPr>
                <w:rFonts w:ascii="Arial" w:hAnsi="Arial" w:cs="Arial"/>
                <w:sz w:val="22"/>
                <w:szCs w:val="22"/>
              </w:rPr>
            </w:pPr>
          </w:p>
        </w:tc>
      </w:tr>
      <w:tr w:rsidR="00AC441A" w:rsidRPr="00AC441A" w:rsidTr="001C6EE5">
        <w:trPr>
          <w:trHeight w:val="4411"/>
        </w:trPr>
        <w:tc>
          <w:tcPr>
            <w:tcW w:w="4489" w:type="dxa"/>
          </w:tcPr>
          <w:p w:rsidR="00AC441A" w:rsidRPr="00AC441A" w:rsidRDefault="00AC441A" w:rsidP="001C6EE5">
            <w:pPr>
              <w:pStyle w:val="Sinespaciado"/>
              <w:jc w:val="both"/>
              <w:rPr>
                <w:rFonts w:ascii="Arial" w:hAnsi="Arial" w:cs="Arial"/>
                <w:bCs/>
                <w:smallCaps/>
                <w:sz w:val="22"/>
                <w:szCs w:val="22"/>
                <w:lang w:val="es-MX"/>
              </w:rPr>
            </w:pP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bCs/>
                <w:smallCaps/>
                <w:sz w:val="22"/>
                <w:szCs w:val="22"/>
                <w:lang w:val="es-MX"/>
              </w:rPr>
              <w:t>Artículo 20.</w:t>
            </w:r>
            <w:r w:rsidRPr="00AC441A">
              <w:rPr>
                <w:rFonts w:ascii="Arial" w:hAnsi="Arial" w:cs="Arial"/>
                <w:sz w:val="22"/>
                <w:szCs w:val="22"/>
                <w:lang w:val="es-MX"/>
              </w:rPr>
              <w:t xml:space="preserve"> La Entrega-Recepción de los Titulares de las Dependencias y Organismos Descentralizados a que se refiere el artículo anterior se efectuará mediante Acta Administrativa de Entrega-Recepción que será firmada por el Titular saliente y entrante quienes se harán acompañar de un testigo cada uno y ante la presencia de un representante de la Secretaría de la Contraloría Municipal.</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El Acto de Entrega-Recepción de alguna Dependencia u Organismo Descentralizado deberá llevarse a cabo a más tardar al día hábil siguiente en que el Titular Saliente sea removido o se separe del cargo.</w:t>
            </w:r>
          </w:p>
          <w:p w:rsidR="00AC441A" w:rsidRPr="00AC441A" w:rsidRDefault="00AC441A" w:rsidP="001C6EE5">
            <w:pPr>
              <w:pStyle w:val="Sinespaciado"/>
              <w:jc w:val="both"/>
              <w:rPr>
                <w:rFonts w:ascii="Arial" w:hAnsi="Arial" w:cs="Arial"/>
                <w:sz w:val="22"/>
                <w:szCs w:val="22"/>
                <w:lang w:val="es-MX"/>
              </w:rPr>
            </w:pPr>
          </w:p>
          <w:p w:rsidR="00AC441A" w:rsidRPr="00AC441A" w:rsidRDefault="00AC441A" w:rsidP="001C6EE5">
            <w:pPr>
              <w:pStyle w:val="Sinespaciado"/>
              <w:jc w:val="both"/>
              <w:rPr>
                <w:rFonts w:ascii="Arial" w:hAnsi="Arial" w:cs="Arial"/>
                <w:sz w:val="22"/>
                <w:szCs w:val="22"/>
                <w:lang w:val="es-MX"/>
              </w:rPr>
            </w:pPr>
          </w:p>
          <w:p w:rsidR="00AC441A" w:rsidRPr="00AC441A" w:rsidRDefault="00AC441A" w:rsidP="001C6EE5">
            <w:pPr>
              <w:pStyle w:val="Sinespaciado"/>
              <w:jc w:val="both"/>
              <w:rPr>
                <w:rFonts w:ascii="Arial" w:hAnsi="Arial" w:cs="Arial"/>
                <w:sz w:val="22"/>
                <w:szCs w:val="22"/>
                <w:lang w:val="es-MX"/>
              </w:rPr>
            </w:pP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bCs/>
                <w:smallCaps/>
                <w:sz w:val="22"/>
                <w:szCs w:val="22"/>
                <w:lang w:val="es-MX"/>
              </w:rPr>
              <w:t>Artículo 21.</w:t>
            </w:r>
            <w:r w:rsidRPr="00AC441A">
              <w:rPr>
                <w:rFonts w:ascii="Arial" w:hAnsi="Arial" w:cs="Arial"/>
                <w:sz w:val="22"/>
                <w:szCs w:val="22"/>
                <w:lang w:val="es-MX"/>
              </w:rPr>
              <w:t xml:space="preserve"> El Acta de Entrega-Recepción y sus Anexos serán integrados en original y dos copias para distribuirse de la siguiente forma:</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 </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I. Un original para el Servidor Público entrante,</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II. La primera copia para el Servidor Público saliente, y</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III. La segunda copia para la Secretaría de la Contraloría Municipal.</w:t>
            </w:r>
          </w:p>
          <w:p w:rsidR="00AC441A" w:rsidRPr="00AC441A" w:rsidRDefault="00AC441A" w:rsidP="001C6EE5">
            <w:pPr>
              <w:pStyle w:val="Sinespaciado"/>
              <w:jc w:val="both"/>
              <w:rPr>
                <w:rFonts w:ascii="Arial" w:hAnsi="Arial" w:cs="Arial"/>
                <w:sz w:val="22"/>
                <w:szCs w:val="22"/>
              </w:rPr>
            </w:pPr>
          </w:p>
          <w:p w:rsidR="00AC441A" w:rsidRPr="00AC441A" w:rsidRDefault="00AC441A" w:rsidP="001C6EE5">
            <w:pPr>
              <w:pStyle w:val="Sinespaciado"/>
              <w:jc w:val="both"/>
              <w:rPr>
                <w:rFonts w:ascii="Arial" w:hAnsi="Arial" w:cs="Arial"/>
                <w:bCs/>
                <w:smallCaps/>
                <w:sz w:val="22"/>
                <w:szCs w:val="22"/>
                <w:lang w:val="es-MX"/>
              </w:rPr>
            </w:pP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bCs/>
                <w:smallCaps/>
                <w:sz w:val="22"/>
                <w:szCs w:val="22"/>
                <w:lang w:val="es-MX"/>
              </w:rPr>
              <w:t>Artículo 23.</w:t>
            </w:r>
            <w:r w:rsidRPr="00AC441A">
              <w:rPr>
                <w:rFonts w:ascii="Arial" w:hAnsi="Arial" w:cs="Arial"/>
                <w:sz w:val="22"/>
                <w:szCs w:val="22"/>
                <w:lang w:val="es-MX"/>
              </w:rPr>
              <w:t xml:space="preserve"> En caso de fallecimiento o incapacidad física, o en el supuesto de que el Servidor Público saliente o entrante por causas de fuerza mayor no se presente a la Entrega-Recepción de las oficinas en los términos que se señalan, ésta se llevará a cabo en presencia de algún funcionario designado por el Presidente Municipal o del Titular de la Dependencia u Organismo Descentralizado de adscripción con la asistencia de dos testigos y la representación de la Secretaría de la Contraloría Municipal.</w:t>
            </w: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sz w:val="22"/>
                <w:szCs w:val="22"/>
                <w:lang w:val="es-MX"/>
              </w:rPr>
              <w:t xml:space="preserve">Si no existe nombramiento o designación del Titular entrante, la Entrega-Recepción se hará al Servidor Público designado por el Presidente Municipal o el Titular de la </w:t>
            </w:r>
            <w:r w:rsidRPr="00AC441A">
              <w:rPr>
                <w:rFonts w:ascii="Arial" w:hAnsi="Arial" w:cs="Arial"/>
                <w:sz w:val="22"/>
                <w:szCs w:val="22"/>
                <w:lang w:val="es-MX"/>
              </w:rPr>
              <w:lastRenderedPageBreak/>
              <w:t>Dependencia u Organismo Descentralizado de adscripción.</w:t>
            </w:r>
          </w:p>
          <w:p w:rsidR="00AC441A" w:rsidRPr="00AC441A" w:rsidRDefault="00AC441A" w:rsidP="001C6EE5">
            <w:pPr>
              <w:pStyle w:val="Sinespaciado"/>
              <w:jc w:val="both"/>
              <w:rPr>
                <w:rFonts w:ascii="Arial" w:hAnsi="Arial" w:cs="Arial"/>
                <w:sz w:val="22"/>
                <w:szCs w:val="22"/>
              </w:rPr>
            </w:pPr>
          </w:p>
          <w:p w:rsidR="00AC441A" w:rsidRPr="00AC441A" w:rsidRDefault="00AC441A" w:rsidP="001C6EE5">
            <w:pPr>
              <w:pStyle w:val="Sinespaciado"/>
              <w:jc w:val="both"/>
              <w:rPr>
                <w:rFonts w:ascii="Arial" w:hAnsi="Arial" w:cs="Arial"/>
                <w:sz w:val="22"/>
                <w:szCs w:val="22"/>
              </w:rPr>
            </w:pPr>
          </w:p>
          <w:p w:rsidR="00AC441A" w:rsidRPr="00AC441A" w:rsidRDefault="00AC441A" w:rsidP="001C6EE5">
            <w:pPr>
              <w:pStyle w:val="Sinespaciado"/>
              <w:jc w:val="both"/>
              <w:rPr>
                <w:rFonts w:ascii="Arial" w:hAnsi="Arial" w:cs="Arial"/>
                <w:bCs/>
                <w:sz w:val="22"/>
                <w:szCs w:val="22"/>
                <w:lang w:val="es-MX"/>
              </w:rPr>
            </w:pPr>
            <w:r w:rsidRPr="00AC441A">
              <w:rPr>
                <w:rFonts w:ascii="Arial" w:hAnsi="Arial" w:cs="Arial"/>
                <w:bCs/>
                <w:smallCaps/>
                <w:sz w:val="22"/>
                <w:szCs w:val="22"/>
                <w:lang w:val="es-MX"/>
              </w:rPr>
              <w:t>Artículo 24.</w:t>
            </w:r>
            <w:r w:rsidRPr="00AC441A">
              <w:rPr>
                <w:rFonts w:ascii="Arial" w:hAnsi="Arial" w:cs="Arial"/>
                <w:sz w:val="22"/>
                <w:szCs w:val="22"/>
                <w:lang w:val="es-MX"/>
              </w:rPr>
              <w:t xml:space="preserve"> En caso que el Servidor Público saliente o entrante se negase a firmar el Acta Administrativa de Entrega-Recepción se asentarán los hechos sucedidos en un Acta Circunstanciada en presencia de un representante de la Secretaría de la Contraloría Municipal, de la Dirección Jurídica y dos personas en calidad de testigos.</w:t>
            </w:r>
          </w:p>
          <w:p w:rsidR="00AC441A" w:rsidRPr="00AC441A" w:rsidRDefault="00AC441A" w:rsidP="001C6EE5">
            <w:pPr>
              <w:pStyle w:val="Sinespaciado"/>
              <w:jc w:val="both"/>
              <w:rPr>
                <w:rFonts w:ascii="Arial" w:hAnsi="Arial" w:cs="Arial"/>
                <w:sz w:val="22"/>
                <w:szCs w:val="22"/>
              </w:rPr>
            </w:pPr>
          </w:p>
          <w:p w:rsidR="00AC441A" w:rsidRPr="00AC441A" w:rsidRDefault="00AC441A" w:rsidP="001C6EE5">
            <w:pPr>
              <w:pStyle w:val="Sinespaciado"/>
              <w:jc w:val="both"/>
              <w:rPr>
                <w:rFonts w:ascii="Arial" w:hAnsi="Arial" w:cs="Arial"/>
                <w:sz w:val="22"/>
                <w:szCs w:val="22"/>
              </w:rPr>
            </w:pP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bCs/>
                <w:smallCaps/>
                <w:sz w:val="22"/>
                <w:szCs w:val="22"/>
                <w:lang w:val="es-MX"/>
              </w:rPr>
              <w:t>Artículo 26.</w:t>
            </w:r>
            <w:r w:rsidRPr="00AC441A">
              <w:rPr>
                <w:rFonts w:ascii="Arial" w:hAnsi="Arial" w:cs="Arial"/>
                <w:sz w:val="22"/>
                <w:szCs w:val="22"/>
                <w:lang w:val="es-MX"/>
              </w:rPr>
              <w:t xml:space="preserve"> En caso de que el Servidor Público entrante determine la existencia de irregularidades en la verificación y validación del Acta de Entrega-Recepción y sus Anexos, deberá informarlo por escrito a la Secretaría de la Contraloría Municipal, para que requiera al Servidor Público saliente y éste lleve a cabo las aclaraciones pertinentes sobre las observaciones consignadas.</w:t>
            </w:r>
          </w:p>
          <w:p w:rsidR="00AC441A" w:rsidRPr="00AC441A" w:rsidRDefault="00AC441A" w:rsidP="001C6EE5">
            <w:pPr>
              <w:pStyle w:val="Sinespaciado"/>
              <w:jc w:val="both"/>
              <w:rPr>
                <w:rFonts w:ascii="Arial" w:hAnsi="Arial" w:cs="Arial"/>
                <w:sz w:val="22"/>
                <w:szCs w:val="22"/>
              </w:rPr>
            </w:pPr>
          </w:p>
          <w:p w:rsidR="00AC441A" w:rsidRPr="00AC441A" w:rsidRDefault="00AC441A" w:rsidP="001C6EE5">
            <w:pPr>
              <w:pStyle w:val="Sinespaciado"/>
              <w:jc w:val="both"/>
              <w:rPr>
                <w:rFonts w:ascii="Arial" w:hAnsi="Arial" w:cs="Arial"/>
                <w:bCs/>
                <w:smallCaps/>
                <w:sz w:val="22"/>
                <w:szCs w:val="22"/>
                <w:lang w:val="es-MX"/>
              </w:rPr>
            </w:pPr>
          </w:p>
          <w:p w:rsidR="00AC441A" w:rsidRPr="00AC441A" w:rsidRDefault="00AC441A" w:rsidP="001C6EE5">
            <w:pPr>
              <w:pStyle w:val="Sinespaciado"/>
              <w:jc w:val="both"/>
              <w:rPr>
                <w:rFonts w:ascii="Arial" w:hAnsi="Arial" w:cs="Arial"/>
                <w:sz w:val="22"/>
                <w:szCs w:val="22"/>
                <w:lang w:val="es-MX"/>
              </w:rPr>
            </w:pPr>
            <w:r w:rsidRPr="00AC441A">
              <w:rPr>
                <w:rFonts w:ascii="Arial" w:hAnsi="Arial" w:cs="Arial"/>
                <w:bCs/>
                <w:smallCaps/>
                <w:sz w:val="22"/>
                <w:szCs w:val="22"/>
                <w:lang w:val="es-MX"/>
              </w:rPr>
              <w:t>Artículo 27.</w:t>
            </w:r>
            <w:r w:rsidRPr="00AC441A">
              <w:rPr>
                <w:rFonts w:ascii="Arial" w:hAnsi="Arial" w:cs="Arial"/>
                <w:sz w:val="22"/>
                <w:szCs w:val="22"/>
                <w:lang w:val="es-MX"/>
              </w:rPr>
              <w:t xml:space="preserve"> La Secretaría de la Contraloría Municipal vigilará el cumplimiento de las disposiciones a que se refiere este Reglamento y queda facultada para interpretar el mismo para efectos administrativos, así como para dictar las disposiciones que se requieran para su adecuada aplicación y cumplimiento.</w:t>
            </w:r>
          </w:p>
          <w:p w:rsidR="00AC441A" w:rsidRPr="00AC441A" w:rsidRDefault="00AC441A" w:rsidP="001C6EE5">
            <w:pPr>
              <w:pStyle w:val="Sinespaciado"/>
              <w:jc w:val="both"/>
              <w:rPr>
                <w:rFonts w:ascii="Arial" w:hAnsi="Arial" w:cs="Arial"/>
                <w:sz w:val="22"/>
                <w:szCs w:val="22"/>
              </w:rPr>
            </w:pPr>
          </w:p>
        </w:tc>
        <w:tc>
          <w:tcPr>
            <w:tcW w:w="4489" w:type="dxa"/>
          </w:tcPr>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ARTÍCULO 20. La Entrega-Recepción de los Titulares de las Dependencias y Organismos Descentralizados a que se refiere el artículo anterior se efectuará mediante Acta Administrativa de Entrega-Recepción que será firmada por el Titular saliente y entrante quienes se harán acompañar de un testigo cada uno y ante la presencia de un representante de la Contraloría Municipal.</w:t>
            </w:r>
          </w:p>
          <w:p w:rsidR="00AC441A" w:rsidRPr="00AC441A" w:rsidRDefault="00AC441A" w:rsidP="001C6EE5">
            <w:pPr>
              <w:pStyle w:val="Poromisin"/>
              <w:jc w:val="both"/>
              <w:rPr>
                <w:rFonts w:ascii="Arial" w:hAnsi="Arial" w:cs="Arial"/>
              </w:rPr>
            </w:pPr>
            <w:r w:rsidRPr="00AC441A">
              <w:rPr>
                <w:rFonts w:ascii="Arial" w:hAnsi="Arial" w:cs="Arial"/>
              </w:rPr>
              <w:t>El Acto de Entrega-Recepción de alguna Dependencia u Organismo Descentralizado deberá llevarse a cabo a más tardar al día hábil siguiente en que el Titular Saliente sea removido o se separe del cargo.</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ARTÍCULO 21. El Acta de Entrega-Recepción y sus Anexos serán integrados en original y dos copias para distribuirse de la siguiente forma:</w:t>
            </w:r>
          </w:p>
          <w:p w:rsidR="00AC441A" w:rsidRPr="00AC441A" w:rsidRDefault="00AC441A" w:rsidP="001C6EE5">
            <w:pPr>
              <w:pStyle w:val="Poromisin"/>
              <w:jc w:val="both"/>
              <w:rPr>
                <w:rFonts w:ascii="Arial" w:hAnsi="Arial" w:cs="Arial"/>
              </w:rPr>
            </w:pPr>
            <w:r w:rsidRPr="00AC441A">
              <w:rPr>
                <w:rFonts w:ascii="Arial" w:hAnsi="Arial" w:cs="Arial"/>
              </w:rPr>
              <w:t xml:space="preserve"> </w:t>
            </w:r>
          </w:p>
          <w:p w:rsidR="00AC441A" w:rsidRPr="00AC441A" w:rsidRDefault="00AC441A" w:rsidP="001C6EE5">
            <w:pPr>
              <w:pStyle w:val="Poromisin"/>
              <w:jc w:val="both"/>
              <w:rPr>
                <w:rFonts w:ascii="Arial" w:hAnsi="Arial" w:cs="Arial"/>
              </w:rPr>
            </w:pPr>
            <w:r w:rsidRPr="00AC441A">
              <w:rPr>
                <w:rFonts w:ascii="Arial" w:hAnsi="Arial" w:cs="Arial"/>
              </w:rPr>
              <w:t>I. Un original para el Servidor Público entrante,</w:t>
            </w:r>
          </w:p>
          <w:p w:rsidR="00AC441A" w:rsidRPr="00AC441A" w:rsidRDefault="00AC441A" w:rsidP="001C6EE5">
            <w:pPr>
              <w:pStyle w:val="Poromisin"/>
              <w:jc w:val="both"/>
              <w:rPr>
                <w:rFonts w:ascii="Arial" w:hAnsi="Arial" w:cs="Arial"/>
              </w:rPr>
            </w:pPr>
            <w:r w:rsidRPr="00AC441A">
              <w:rPr>
                <w:rFonts w:ascii="Arial" w:hAnsi="Arial" w:cs="Arial"/>
              </w:rPr>
              <w:t>II. La primera copia para el Servidor Público saliente, y</w:t>
            </w:r>
          </w:p>
          <w:p w:rsidR="00AC441A" w:rsidRPr="00AC441A" w:rsidRDefault="00AC441A" w:rsidP="001C6EE5">
            <w:pPr>
              <w:pStyle w:val="Poromisin"/>
              <w:jc w:val="both"/>
              <w:rPr>
                <w:rFonts w:ascii="Arial" w:hAnsi="Arial" w:cs="Arial"/>
              </w:rPr>
            </w:pPr>
            <w:r w:rsidRPr="00AC441A">
              <w:rPr>
                <w:rFonts w:ascii="Arial" w:hAnsi="Arial" w:cs="Arial"/>
              </w:rPr>
              <w:t>III. La segunda copia para la Contraloría Municipal.</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ARTÍCULO 23. En caso de fallecimiento o incapacidad física, o en el supuesto de que el Servidor Público saliente o entrante por causas de fuerza mayor no se presente a la Entrega-Recepción de las oficinas en los términos que se señalan, ésta se llevará a cabo en presencia de algún funcionario designado por el Presidente Municipal o del Titular de la Dependencia u Organismo Descentralizado de adscripción con la asistencia de dos testigos y la representación de la Contraloría Municipal.</w:t>
            </w:r>
          </w:p>
          <w:p w:rsidR="00AC441A" w:rsidRPr="00AC441A" w:rsidRDefault="00AC441A" w:rsidP="001C6EE5">
            <w:pPr>
              <w:pStyle w:val="Poromisin"/>
              <w:jc w:val="both"/>
              <w:rPr>
                <w:rFonts w:ascii="Arial" w:hAnsi="Arial" w:cs="Arial"/>
              </w:rPr>
            </w:pPr>
            <w:r w:rsidRPr="00AC441A">
              <w:rPr>
                <w:rFonts w:ascii="Arial" w:hAnsi="Arial" w:cs="Arial"/>
              </w:rPr>
              <w:t>Si no existe nombramiento o designación del Titular entrante, la Entrega-Recepción se hará al Servidor Público designado por el Presidente Municipal o el Titular de la Dependencia u Organismo Descentralizado de adscripción.</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ARTÍCULO 24. En caso que el Servidor Público saliente o entrante se negase a firmar el Acta Administrativa de Entrega-Recepción se asentarán los hechos sucedidos en un Acta Circunstanciada en presencia de un representante de la Contraloría Municipal, de la Dirección Jurídica y dos personas en calidad de testigos.</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ARTÍCULO 26. En caso de que el Servidor Público entrante determine la existencia de irregularidades en la verificación y validación del Acta de Entrega-Recepción y sus Anexos, deberá informarlo por escrito a la Contraloría Municipal, para que requiera al Servidor Público saliente y éste lleve a cabo las aclaraciones pertinentes sobre las observaciones consignadas.</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ARTÍCULO 27. La Contraloría Municipal vigilará el cumplimiento de las disposiciones a que se refiere este Reglamento y queda facultada para interpretar el mismo para efectos administrativos, así como para dictar las disposiciones que se requieran para su adecuada aplicación y cumplimiento.</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CAPITULO SEXTO</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DEL RECURSO ÚNICO DE INCONFORMIDAD.</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 xml:space="preserve">Artículo 30. El Procedimiento Administrativo </w:t>
            </w:r>
            <w:r w:rsidRPr="00AC441A">
              <w:rPr>
                <w:rFonts w:ascii="Arial" w:hAnsi="Arial" w:cs="Arial"/>
              </w:rPr>
              <w:t>Ú</w:t>
            </w:r>
            <w:r w:rsidRPr="00AC441A">
              <w:rPr>
                <w:rFonts w:ascii="Arial" w:hAnsi="Arial" w:cs="Arial"/>
              </w:rPr>
              <w:t xml:space="preserve">nico de </w:t>
            </w:r>
            <w:r w:rsidRPr="00AC441A">
              <w:rPr>
                <w:rFonts w:ascii="Arial" w:hAnsi="Arial" w:cs="Arial"/>
              </w:rPr>
              <w:t>R</w:t>
            </w:r>
            <w:r w:rsidRPr="00AC441A">
              <w:rPr>
                <w:rFonts w:ascii="Arial" w:hAnsi="Arial" w:cs="Arial"/>
              </w:rPr>
              <w:t xml:space="preserve">ecurso de </w:t>
            </w:r>
            <w:r w:rsidRPr="00AC441A">
              <w:rPr>
                <w:rFonts w:ascii="Arial" w:hAnsi="Arial" w:cs="Arial"/>
              </w:rPr>
              <w:t>I</w:t>
            </w:r>
            <w:r w:rsidRPr="00AC441A">
              <w:rPr>
                <w:rFonts w:ascii="Arial" w:hAnsi="Arial" w:cs="Arial"/>
              </w:rPr>
              <w:t>nconformidad procederá en contra de los actos emitidos por las autoridades del municipio de Monterrey, con excepción de aquellos recursos cuyo procedimiento este regulado en la Legislación Estatal.</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 xml:space="preserve">Artículo 31. El recurso de inconformidad se tramitará conforme a las disposiciones del </w:t>
            </w:r>
            <w:r w:rsidRPr="00AC441A">
              <w:rPr>
                <w:rFonts w:ascii="Arial" w:hAnsi="Arial" w:cs="Arial"/>
              </w:rPr>
              <w:lastRenderedPageBreak/>
              <w:t>Reglamento que regula el Procedimiento Único de Inconformidad en el Municipio de Monterrey, y a falta de disposición expresa, se aplicará supletoriamente la Ley de Justicia Administrativa de Nuevo León o el derecho común.</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jc w:val="both"/>
              <w:rPr>
                <w:rFonts w:ascii="Arial" w:hAnsi="Arial" w:cs="Arial"/>
              </w:rPr>
            </w:pPr>
          </w:p>
          <w:p w:rsidR="00AC441A" w:rsidRPr="00AC441A" w:rsidRDefault="00AC441A" w:rsidP="001C6EE5">
            <w:pPr>
              <w:pStyle w:val="Poromisin"/>
              <w:jc w:val="both"/>
              <w:rPr>
                <w:rFonts w:ascii="Arial" w:hAnsi="Arial" w:cs="Arial"/>
              </w:rPr>
            </w:pPr>
            <w:r w:rsidRPr="00AC441A">
              <w:rPr>
                <w:rFonts w:ascii="Arial" w:hAnsi="Arial" w:cs="Arial"/>
              </w:rPr>
              <w:t>CAPITULO SÉPTIMO</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DEL PROCEDIMIENTO DE REVISIÓN Y CONSULTA.</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Artículo 32. Para la revisión y c</w:t>
            </w:r>
            <w:r w:rsidRPr="00AC441A">
              <w:rPr>
                <w:rFonts w:ascii="Arial" w:hAnsi="Arial" w:cs="Arial"/>
              </w:rPr>
              <w:t>onsulta del presente Reglamento</w:t>
            </w:r>
            <w:r w:rsidRPr="00AC441A">
              <w:rPr>
                <w:rFonts w:ascii="Arial" w:hAnsi="Arial" w:cs="Arial"/>
              </w:rPr>
              <w:t xml:space="preserve"> la comunidad podrá hacer llegar sus opinion</w:t>
            </w:r>
            <w:r w:rsidRPr="00AC441A">
              <w:rPr>
                <w:rFonts w:ascii="Arial" w:hAnsi="Arial" w:cs="Arial"/>
              </w:rPr>
              <w:t xml:space="preserve">es y observaciones por escrito </w:t>
            </w:r>
            <w:r w:rsidRPr="00AC441A">
              <w:rPr>
                <w:rFonts w:ascii="Arial" w:hAnsi="Arial" w:cs="Arial"/>
              </w:rPr>
              <w:t xml:space="preserve">a la Comisión de Gobierno, Reglamentación y Mejora Regulatoria, quién recibirá y atenderá cualquier sugerencia que sea presentada por la ciudadanía. El </w:t>
            </w:r>
            <w:proofErr w:type="spellStart"/>
            <w:r w:rsidRPr="00AC441A">
              <w:rPr>
                <w:rFonts w:ascii="Arial" w:hAnsi="Arial" w:cs="Arial"/>
              </w:rPr>
              <w:t>promovente</w:t>
            </w:r>
            <w:proofErr w:type="spellEnd"/>
            <w:r w:rsidRPr="00AC441A">
              <w:rPr>
                <w:rFonts w:ascii="Arial" w:hAnsi="Arial" w:cs="Arial"/>
              </w:rPr>
              <w:t xml:space="preserve"> deberá argumentar en el escrito de referencia las razones que sustenten sus opiniones y observaciones con respecto al Reglamento Municipal.</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AC441A">
              <w:rPr>
                <w:rFonts w:ascii="Arial" w:hAnsi="Arial" w:cs="Arial"/>
              </w:rPr>
              <w:t xml:space="preserve">Artículo 33. La Comisión deberá en un plazo no mayor a 60 días hábiles, analizar, estudiar y dictaminar sobre las propuestas. En caso de resultar fundadas las propuestas planteadas, se hará del conocimiento del Ayuntamiento para su consideración. Se deberá informar al </w:t>
            </w:r>
            <w:proofErr w:type="spellStart"/>
            <w:r w:rsidRPr="00AC441A">
              <w:rPr>
                <w:rFonts w:ascii="Arial" w:hAnsi="Arial" w:cs="Arial"/>
              </w:rPr>
              <w:t>promovente</w:t>
            </w:r>
            <w:proofErr w:type="spellEnd"/>
            <w:r w:rsidRPr="00AC441A">
              <w:rPr>
                <w:rFonts w:ascii="Arial" w:hAnsi="Arial" w:cs="Arial"/>
              </w:rPr>
              <w:t xml:space="preserve"> la procedencia o improcedencia de sus propuestas.</w:t>
            </w:r>
          </w:p>
        </w:tc>
      </w:tr>
      <w:tr w:rsidR="00AC441A" w:rsidRPr="00AC441A" w:rsidTr="001C6EE5">
        <w:trPr>
          <w:trHeight w:val="1217"/>
        </w:trPr>
        <w:tc>
          <w:tcPr>
            <w:tcW w:w="8978" w:type="dxa"/>
            <w:gridSpan w:val="2"/>
          </w:tcPr>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r w:rsidRPr="00AC441A">
              <w:rPr>
                <w:rFonts w:ascii="Arial" w:hAnsi="Arial" w:cs="Arial"/>
                <w:b/>
              </w:rPr>
              <w:t>TRANSITORIO</w:t>
            </w:r>
          </w:p>
          <w:p w:rsidR="00AC441A" w:rsidRPr="00AC441A" w:rsidRDefault="00AC441A" w:rsidP="001C6EE5">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p>
          <w:p w:rsidR="00AC441A" w:rsidRPr="00AC441A" w:rsidRDefault="00AC441A" w:rsidP="001C6EE5">
            <w:pPr>
              <w:rPr>
                <w:rFonts w:ascii="Arial" w:hAnsi="Arial" w:cs="Arial"/>
                <w:b/>
                <w:sz w:val="22"/>
                <w:szCs w:val="22"/>
              </w:rPr>
            </w:pPr>
            <w:r w:rsidRPr="00AC441A">
              <w:rPr>
                <w:rFonts w:ascii="Arial" w:hAnsi="Arial" w:cs="Arial"/>
                <w:sz w:val="22"/>
                <w:szCs w:val="22"/>
              </w:rPr>
              <w:t>ÚNICO. Las presentes reformas entrarán en vigor a partir de su publicación en el Periódico Oficial del Estado.</w:t>
            </w:r>
          </w:p>
        </w:tc>
      </w:tr>
    </w:tbl>
    <w:p w:rsidR="00F6398A" w:rsidRPr="00AC441A" w:rsidRDefault="00F6398A">
      <w:pPr>
        <w:rPr>
          <w:rFonts w:ascii="Arial" w:hAnsi="Arial" w:cs="Arial"/>
          <w:sz w:val="22"/>
          <w:szCs w:val="22"/>
        </w:rPr>
      </w:pPr>
    </w:p>
    <w:sectPr w:rsidR="00F6398A" w:rsidRPr="00AC44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1A"/>
    <w:rsid w:val="00AC441A"/>
    <w:rsid w:val="00F639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8C847-A780-4C4F-97A7-CCF8836F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4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C441A"/>
    <w:pPr>
      <w:spacing w:after="0" w:line="240" w:lineRule="auto"/>
    </w:pPr>
    <w:rPr>
      <w:rFonts w:ascii="Cambria" w:eastAsia="Times New Roman" w:hAnsi="Cambria" w:cs="Times New Roman"/>
      <w:sz w:val="24"/>
      <w:szCs w:val="24"/>
      <w:lang w:val="es-ES_tradnl" w:eastAsia="ja-JP"/>
    </w:rPr>
  </w:style>
  <w:style w:type="table" w:styleId="Tablaconcuadrcula">
    <w:name w:val="Table Grid"/>
    <w:basedOn w:val="Tablanormal"/>
    <w:uiPriority w:val="59"/>
    <w:rsid w:val="00AC4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441A"/>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AC441A"/>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3145</Words>
  <Characters>17303</Characters>
  <Application>Microsoft Office Word</Application>
  <DocSecurity>0</DocSecurity>
  <Lines>144</Lines>
  <Paragraphs>40</Paragraphs>
  <ScaleCrop>false</ScaleCrop>
  <Company/>
  <LinksUpToDate>false</LinksUpToDate>
  <CharactersWithSpaces>20408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Edmundo Trujillo Enriquez</dc:creator>
  <cp:keywords/>
  <dc:description/>
  <cp:lastModifiedBy>Hugo Edmundo Trujillo Enriquez</cp:lastModifiedBy>
  <cp:revision>1</cp:revision>
  <dcterms:created xsi:type="dcterms:W3CDTF">2016-02-15T16:47:00Z</dcterms:created>
  <dcterms:modified xsi:type="dcterms:W3CDTF">2016-02-15T16:51:00Z</dcterms:modified>
</cp:coreProperties>
</file>